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cs="Calibri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 w:bidi="ar"/>
        </w:rPr>
        <w:t>国家级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bidi="ar"/>
        </w:rPr>
        <w:t>绿色矿山建设评价指标</w:t>
      </w:r>
    </w:p>
    <w:tbl>
      <w:tblPr>
        <w:tblStyle w:val="3"/>
        <w:tblW w:w="15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7104"/>
        <w:gridCol w:w="5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先决条件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584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手续齐全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证照合法有效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《采矿许可证》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《安全生产许可证》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《营业执照》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证照合法有效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依法办理环评和排污许可手续，并依法完成竣工环保验收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584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               合格    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             不合格    □</w:t>
            </w:r>
          </w:p>
          <w:p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满足所有先决条件方可进行打分评价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其中1条不满足的，即为不合格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三年内未受行政处罚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或已整改到位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近三年内（自遴选通知下发之日起前三年），未受到自然资源和生态环境等部门行政处罚，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或受到处罚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在履行期限内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已执行到位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（出具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），且未发生过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较大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及以上安全生产事故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环境事件的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矿业权人异常名录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矿山参加遴选期间，矿业权人未被列入矿业权人勘查开采信息公示异常名录。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矿山要求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矿山近三年内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正常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运营，且剩余储量可采年限（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储量年度报告）不少于三年。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矿区范围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矿区范围未涉及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生态保护红线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国家有规定的除外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符合国土空间规划及规划环评要求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</w:tbl>
    <w:p/>
    <w:tbl>
      <w:tblPr>
        <w:tblStyle w:val="3"/>
        <w:tblW w:w="15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0"/>
        <w:gridCol w:w="2"/>
        <w:gridCol w:w="1130"/>
        <w:gridCol w:w="672"/>
        <w:gridCol w:w="5300"/>
        <w:gridCol w:w="950"/>
        <w:gridCol w:w="2563"/>
        <w:gridCol w:w="915"/>
        <w:gridCol w:w="915"/>
        <w:gridCol w:w="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tblHeader/>
          <w:jc w:val="center"/>
        </w:trPr>
        <w:tc>
          <w:tcPr>
            <w:tcW w:w="107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一级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二级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三级指标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标准分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评分说明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考核方法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依据或标准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指标属性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检查记录</w:t>
            </w: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一、矿区环境(7项，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分)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1矿容矿貌（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1功能分区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生产区、管理区、生活区进行功能分区，符合分区要求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管理区、生活区分区不明显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生产区、管理区分区不明显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矿区总平面布置图或示意图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《工业企业总平面设计规范》（GB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50187）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2配套设施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矿区地面运输、供水、供电等配套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设施齐全、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正常运行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食堂、澡堂、厕所等设施齐全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整洁规范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对矿区建筑、构筑物及时维护、维修或粉刷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生产区、管理区、生活区的所有场所不存在私搭乱建等临时建筑、废弃建构筑物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，发现一处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矿区总平面布置图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3标识标牌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区按要求设置操作提示牌、说明牌、线路示意图牌等各类标牌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标牌的尺寸、形状、颜色设置符合规定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，发现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0.2分。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《标牌》（GB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/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T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 13306）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4定置管理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设备、物资材料规范管理，做到分类分区、摆放有序、堆码整齐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5清洁卫生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矿区保持清洁卫生，主干道路表面平整、密实和粗糙度适当，内部道路或专用道路及时清理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洒落物，生产区及管理区无垃圾、无废石乱扔乱放，生产现场管线无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、冒、滴、漏现象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《厂矿道路设计规范》（GBJ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22）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2矿区绿化美化（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6矿区绿化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可绿化区域实现全覆盖，且无大面积表土裸露。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/>
              </w:rPr>
              <w:t>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可绿化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是指除采场、建筑覆盖区、硬化地面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不宜进行绿化区域以外的区域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7绿化效果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绿化植物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以本土物种为主，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搭配合理，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与周边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环境协调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一致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符合当地气候条件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/>
              </w:rPr>
              <w:t>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提升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二、资源开采（4项，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开采活动（1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8开采方式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露天开采采用自上而下分台阶开采，符合开采设计要求。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坚持采剥并举、剥离先行的原则，优化开采布局，选择合理工艺，科学制定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/>
              </w:rPr>
              <w:t>采排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计划，尽量减少对地表的破坏。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地下开采方法和顺序合理，符合开采设计要求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开采技术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生态环境保护要求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开采设计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9开采技术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①钻孔：采用湿式、干式（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收尘）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凿岩作业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②爆破：采用微差爆破、预裂爆破、光面爆破等爆破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装：采用大型化自动化液压铲装设备、液压挖掘机或装载机、自卸式矿车、大型自移式破碎机等先进设备进行铲装作业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④排土：生产期采用分期内排技术，最大化利用内排土场排土，减少外部土地占用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（兼备地下和露天开采的，以现阶段主要开采方式选择其一进行评分，分数不可累加）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采用减轻地表沉陷变形、减少对土壤和地下水污染的开采方式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充填法、保水开采等技术进行地下开采，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得3分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利用采空区规模化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环保化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处置尾矿、废石、煤矸石等，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得3分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③应用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开采、深部开采等先进开采技术，得2分。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（兼备地下和露天开采的，以现阶段主要开采方式选择其一进行评分，分数不可累加）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石油天然气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矿泉水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等：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①采用电动钻机及顶驱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等钻井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装置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②采用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快、控压等钻井技术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③采用环保型钻井液及循环利用技术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④及时无害化处置钻井泥浆等钻井废弃物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得2分。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工艺技术装备资料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10开采回采率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开采回采率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自然资源部发布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”指标要求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开采工作面（5分）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11质量要求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作业平台干净，保持平整、通畅，无杂物、无积水，工作台阶与非工作台阶坡面无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石，非工作台阶滚落物及时清理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工作面满足通风、运输、行人、设备安装、检修的需要，支护完好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无较大面积积水、无浮碴、无杂物，材料堆放整齐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石油天然气等：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生产作业场地无明显油污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无“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跑冒滴漏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及对井场表层土壤造成污染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钻井废弃物不落地，进行集中无害化处理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★适用于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地热矿泉水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等：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生产作业场所应干净整洁、无污渍；井（泉）及其附属设施保持完好并正常运行，无堵塞或泄露；应建有规范完备的污废水处理设施，正常运行合理处置污水、废水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。符合要求得5分，发现一处不符合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扣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三、资源综合利用（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项1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分；4项1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3998" w:type="dxa"/>
            <w:gridSpan w:val="10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（1）非金属、化工、黄金、冶金、有色、油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、煤炭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地热、矿泉水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等行业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选矿回收（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12选矿加工工艺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选矿工艺符合设计规范，不得使用国家规定的限制类和淘汰类技术、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工艺和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装备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地热、矿泉水的利用做到资源分级利用、优质优用。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《煤炭洗选工程设计规范》（GB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50359-2016）等矿山选矿工艺设计规范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13选矿回收率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选矿回收率符合矿产资源合理开发利用“三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自然资源部发布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14共伴生资源综合勘查与评价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矿产资源综合勘查评价规范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进行综合勘查、综合评价。符合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《矿产资源综合勘查评价规范》（GB/T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25283）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提升性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15共伴生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矿产资源综合利用率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共伴生矿产综合利用率达到国家发布的矿产资源合理开发利用“三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自然资源部发布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16对暂不能开采利用的矿产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对暂不能开采利用的共伴生矿产采取保护措施。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《矿产资源开发利用方案》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，矿山设计，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3固废综合利用（3分）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17工业固废处置与利用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通过回填、铺路、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工程建设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等方式充分利用固体废弃物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剥离表土用于土地复垦、生态修复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1分（无表土的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，直接得1分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渗滤液收集、废水处理、地下水环境监测等尾矿库污染防治设施符合相关法规标准要求，得0.5分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《矿产资源开发利用方案》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《一般工业固体废物贮存和填埋污染控制标准》（GB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18599）《尾矿污染环境防治管理办法》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18回收提取有价元素/有用矿物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鼓励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已有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尾矿、煤矸石、废石等固体废弃物中提取有价元素或有用矿物。符合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，不符合得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生产报表、销售报表、财务报表等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4废水综合利用（5分）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19生产废水综合利用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①配备完备的废水处理设施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并正常运行的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②采用洁净化、资源化技术工艺合理处置矿井水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废水、尾水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得1分。煤矿、黄金等行业矿井水处置率达到100%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不达标不得分。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③选矿废水循环利用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得1分。煤矿矿井水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利用率达到相关标准，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冶金选矿废水循环利用率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90%，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非金属矿山选矿废水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重复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85%，化工行业选矿回水利用率达到100%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地热矿泉水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  <w:lang w:bidi="ar"/>
              </w:rPr>
              <w:t>尾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废水集中处理达标后外排或回灌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不达标不得分。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-22" w:firstLine="25" w:firstLineChars="1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煤炭采选业清洁生产评价指标体系》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（国家发展改革委、生态环境部、工业和信息化部，2019年发布），冶金、非金属、煤炭、化工行业绿色矿山建设规范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20生活污水综合利用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①配备生活污水处理系统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并正常运行的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1分；生活污水处置达标后，用于工业场地浇灌绿化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洒水降尘或其他综合利用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企业生活污水直接连入城镇污水处理管网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得2分。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8" w:type="dxa"/>
            <w:gridSpan w:val="10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（2）砂石、水泥灰岩、建筑石材等行业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21开采加工等相关产物综合利用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★适用于砂石、建筑石材等行业：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充分利用石粉、泥粉等矿山开采或加工产物，提高资源化利用水平，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环境治理、土地复垦和土壤改良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★适用于水泥灰岩行业：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结合水泥生产线多种原料配料的特点，实现开采或加工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产各类产物资源化利用，实现资源分级利用、优质优用，实现高品位矿石与低品位矿石、夹层、顶底板围岩等综合利用。符合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2固废综合利用（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22土质剥离物的综合利用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★适用于砂石、建筑石材等行业：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排土场堆放的剥离表土或筛分后的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碴土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、废石等，用于环境治理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土地复垦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、生态修复等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★适用于水泥灰岩行业：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将符合要求的土质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剥离物用作硅铝质原料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或用于土地复垦，其他剥离物用作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水泥配料、砂石骨料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或其他工程用料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3废水综合利用（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23生产废水处置与利用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①配备完善的生产废水处理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2分；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②废水经固液分离处理后，清水得到有效循环利用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得2分。砂石清水循环利用率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达到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100%，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不达标不得分。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生产报表（调度报表）或其他证明材料，砂石行业绿色矿山建设规范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24生活污水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①配备生活污水处理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分；生活污水处置达标后，用于工业场地浇灌绿化，洒水降尘或其他综合利用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企业生活污水直接连入城镇污水处理管网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得4分。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绿色低碳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项，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1节约集约用地（2分）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25节约集约用地情况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矿山用地在满足建设、运输生产等要求前提下，综合考虑土地资源、资金、环境等经济技术条件，按照节约集约原则，进行优化配置和科学利用，充分利用荒地、劣地，少占耕地。符合要求得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《节约集约利用土地规定（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2019年修正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）》《工业项目用地控制指标》《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自然资源部办公厅关于规范开展建设项目节地评价工作的通知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》（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自然资办发〔2021〕14号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提升性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节能降耗（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能源管理体系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有年度能源管理计划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建立全过程能耗管理体系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取得能源管理体系认证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得分不超过1分。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能耗核算体系文件或台账，能源管理体系证书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2" w:type="dxa"/>
            <w:gridSpan w:val="2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单位产品能耗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单位产品能耗符合国家标准。煤矿、铁矿、金矿、有色金属矿有国家标准的，执行国家标准。其他矿种暂无国家标准、行业标准的，以企业近3年能耗等指标均值为依据进行考核，要体现节能降耗进步要求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能耗逐年降低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能耗台账、各行业单位产品能源消耗限额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减碳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碳排放核算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按照规定的核算方法，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对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矿区范围内的温室气体排放进行核算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开展工作的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得2分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未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开展工作的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0分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《工业企业温室气体排放核算和报告通则》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GB/T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32150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《温室气体排放核算方法与报告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/T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32151）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4源头预防（5分）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地下水环境状况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矿区及周边地下水具备使用功能的，其环境状况应达到相关功能限值要求；存在人为因素导致地下水不满足相关功能要求时，应该按照相关标准开展地下水污染风险管控修复，防止地下水污染加重与扩散。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工矿用地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土壤环境管理办法（试行）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》《地下水质量标准》（GB/T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14848）、《污染地块地下水修复和风险管控技术导则》（HJ 25.6）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酸性废水源头预防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评估预测矿山关闭酸性废水产生量及对周边环境影响，在开采和闭矿前综合采用雨水导排、补给控制、矿山回填等措施，预防酸性废水大量产生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《水污染防治法》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土壤污染源头预防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矿山开采区、尾矿库等运营、管理单位应当采取防渗漏等措施，并建设地下水水质监测井进行监测；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建设涉及有毒有害物质的设施设备，应设计、建设和安装有关防腐蚀、防泄漏设施和泄漏监测装置，防止有毒有害物质污染土壤和地下水；构筑物及场地防渗要求符合相关标准的规定。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《水污染防治法》《工矿用地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土壤环境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管理办法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（试行）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》《一般工业固体废物贮存和填埋污染控制标准》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GB 18599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《尾矿库设计规范》（GB 50863）、《有色金属工业环境保护工程设计规范》（GB 50988）、《危险废物贮存污染控制标准》（GB 18597）、《危险废物填埋污染控制标准》（GB 18598）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土壤污染隐患排查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列入土壤污染重点监管单位的企业，应定期对重点区域、重点设施设备开展隐患排查；开展土壤和地下水自行监测；严格控制有毒有害物质排放，并按年度向生态环境主管部门报告排放情况。符合要求得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分，不符合得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分（未列入土壤污染重点监管单位的企业本项直接得分）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《土壤污染防治法》《重点监管单位土壤污染隐患排查指南（试行）》（生态环境部〔2021〕1号公告）、《工业企业土壤和地下水自行监测技术指南（试行）》（HJ 1209）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废物排放（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固废排放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对无法实现综合利用的固体废弃物，划分危险废物、一般废物和生活垃圾不同类别，实现分级分类，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堆场、尾矿库污染防治设施符合相关法规标准要求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并按照国家法律和标准，自行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或委托第三方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固体废弃物进行处置，委托第三方有资质的单位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对危险废物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进行处置。符合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《中华人民共和国固体废物污染环境防治法》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一般工业固体废物贮存、处置场污染控制标准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(GB 18599)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危险废物焚烧、贮存、填埋污染控制标准(GB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18484、18597、18598)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废水排放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清污管路分别铺设、雨水与污水管群分开设置；生活污水经处理后水质达标排放，或污水直接排入市政污水管网；工业废水经处理后水质达标排放；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尾矿库、排土场等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建有雨水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截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（排）水沟，地表径流水、淋溶水等经沉淀后达标排放或处理回用。符合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国家水污染物排放标准（GB 8978、GB 20426、GB 25465、GB 25466、GB 25467、GB 25468、GB 26451、GB 28661、GB 30770等）以及所在省（自治区、直辖市）人民政府发布实施的地方水污染物排放标准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废气排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在开采、加工、运输、贮存等环节，采取除尘捕尘、抑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降尘、净化废气等措施，实现达标排放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开采过程中的大气污染物排放应符合国家或地方相应排放标准。凿岩作业采用降尘措施，爆破作业喷雾洒水降尘，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生产区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配置洒水车定时洒水降尘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，配备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地面运输车辆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洗车台，对出厂车辆进行清洗，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外运产品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途中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，废石或矿石周转场地、贮存场所具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防扬尘设施。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矿区建筑物上无明显积尘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，矿区周边植被无明显粉尘覆盖。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对矿区粉尘进行定期监测。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国家大气污染物排放标准（GB 4915、GB 9078、GB 16297、GB 20426、GB 25465、GB 25466、GB 25467、GB 25468、GB 26451、GB 28661、GB 30770、GB 41618等）以及所在省（自治区、直辖市）人民政府发布实施的地方大气污染物排放标准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移动源控制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企业使用铁路、水路、封闭式皮带廊道、新能源汽车运输矿石等大宗货物年货运量占比达到70%，得1分。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《深入打好重污染天气消除、臭氧污染防治和柴油货车污染治理攻坚战行动方案》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（生态环境部〔202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68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号公告）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提升性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噪声排放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对矿区凿岩、破碎和空压等高噪声设备进行降噪处理，配备消声、减振和隔振等措施，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厂界噪声排放达标。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对厂界噪声进行定期监测。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《工业企业厂界环境噪声排放标准》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12348-2008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五、生态修复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与环境治理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项，1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1矿山地质环境治理恢复与土地复垦（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矿山地质环境保护与土地复垦方案编制与执行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矿山地质环境保护与土地复垦方案》已通过审查并在适用期；依据《矿山地质环境保护与土地复垦方案》编制了年度计划；执行了年度报告制度；矿山地质环境治理恢复、土地复垦质量符合要求；完成了年度或阶段性目标任务并通过阶段验收。符合要求得5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《矿山地质环境保护与土地复垦方案》及年度计划、《土地复垦质量控制标准》(TD/T 1036) 、《矿山生态修复技术规范》(TD/T 1070)等标准规范。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9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矿山地质环境治理恢复基金计提使用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按相关规定及标准足额计提矿山地质环境治理恢复基金并规范使用，统筹用于开展矿山地质环境治理恢复和土地复垦。符合要求得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《矿山地质环境保护与土地复垦方案》及年度计划、基金监管政策文件及标准规范，其他证明材料等。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2治理要求（5分）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治理效果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不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新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设永久排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矸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排土场、尾矿库、露天采场、矿区专用道路、矿山工业场地、塌陷区、废石场等区域生态修复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与环境治理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符合要求。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落实“边开采、边修复”要求，矿山生态修复能够分区、分期进行的，要分区、分期开展。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治理后的各类场地对周边环境不产生污染，与周边自然环境相协调，周边水体质量恢复至原水平，区域生态功能得到保护和恢复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《矿山生态环境保护与恢复治理技术规范》（HJ 651）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《土地复垦质量控制标准》(TD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1036)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《矿山生态修复技术规范》(TD/T 1070)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、《生态保护修复成效评估技术指南（试行）》（HJ 1272—2022），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其他文件证明材料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矿山环境动态监测（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动态监测要求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建立动态监测体系，对选矿废水、矿井水、尾矿库、矸石山、排土场、废石堆场、地下水等定期进行环境监测，并根据监测结果，采取了有效保护措施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对地质环境破坏与恢复治理、土地损毁与复垦利用、生态系统破坏（退化）与恢复进行了动态监测。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不符合得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监测记录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《生态保护修复成效评估技术指南（试行）》（HJ 1272—2022）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《矿山生态修复技术规范》(TD/T 1070)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等相关标准规范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其他证明材料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环境管理体系（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环境管理体系要求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建立环境管理机制，有完善的环境管理制度，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配备了必要的环境管理机构和生态环境保护等专业技术人员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有环境管理日常监管记录，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采取了环境风险防范措施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获得环境管理体系认证，得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环境管理制度、突发事件预案、认证证书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《生态保护修复成效评估技术指南（试行）》（HJ 1272—2022）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六、科技创新与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规范管理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1科技创新（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研发及技改投入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具有技术研发队伍和专业技术人员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研发及技改投入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上年度主营业务收入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.5%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；完成环评要求的专项研究，得0.5分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最多得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创新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成果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获得1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发明专利得0.5分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，最多得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入选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《节地技术和节地模式推荐目录》或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最新版《矿产资源节约和综合利用先进适用技术目录》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，最多得2分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获得高新技术企业证书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或其他证明材料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2数字化矿山（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集中管控平台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集中管控平台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能够将远程监控系统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自动控制系统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储量管理系统、生态环境监测管理系统等集中在大屏幕展示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，发现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一项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不符合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  <w:lang w:bidi="ar"/>
              </w:rPr>
              <w:t>扣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0.5分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智能化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应用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按照</w:t>
            </w:r>
            <w:r>
              <w:rPr>
                <w:rFonts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智能矿山建设规范》（DZ/T 0376-2021）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等标准开展智能矿山建设。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《智能矿山建设规范》（DZ/T 0376-2021）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规范管理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企业文化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制定绿色矿山建设年度计划，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定期开展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自评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制作绿色矿山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宣传展板、标语和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宣传片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建立人员目视化管理制度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；建立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职工收入随企业业绩同步增长机制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；建设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职工休闲、娱乐、文化体育设施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开展活动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职工满意度不低于70%。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发现一项不符合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查现场、调查走访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企业管理文件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、自评材料、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宣传片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活动证明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认证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、证书、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调查问卷原始记录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企业诚信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依法纳税，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按要求提交储量年报、储量表及矿产资源统计基础表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按规定缴存矿业权出让收益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。符合要求得2分，不符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得0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税务及相关部门证明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矿地和谐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建立职业健康管理制度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地关系，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制定和公开申诉回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应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制度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，具有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联系机构与人员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及时妥善处理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受采矿活动影响的社区等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利益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相关者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间的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纠纷矛盾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维护当地生产、生活相关生态环境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在劳务用工、基础设施、公益募捐、教育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医疗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支持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一个及以上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方面开展帮扶，助力乡村振兴。符合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，不符合得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查资料、调查走访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文件、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票据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ind w:left="0" w:leftChars="0"/>
        <w:jc w:val="both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left="-567" w:leftChars="-27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国家级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绿色矿山建设评价指标》包含先决条件和评分表两部分。先决条件属于否决项，有一项达不到要求，则不能参与绿色矿山遴选工作，各省（区、市）可根据实际情况依法依规增加否决项。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  <w:t>一、计分办法与达标说明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（一）评价指标共4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分约束性指标、提升性指标两类，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分别从矿区环境、资源开采、资源综合利用、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绿色低碳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、生态修复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与环境治理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、科技创新与规范管理六个方面对绿色矿山建设水平进行评分。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（二）约束性指标共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项，所有约束性指标必须得满分，若一项不得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分则不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达标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。提升性指标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项，体现差异性，按评分表内的评分说明进行评分。</w:t>
      </w:r>
    </w:p>
    <w:p>
      <w:pPr>
        <w:ind w:firstLine="640" w:firstLineChars="200"/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（三）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不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涉及项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计分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经判定某项指标属于不涉及项的，按大类采用折合法计分。不涉及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/>
        </w:rPr>
        <w:t>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在评分表中明确说明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判定依据和理由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评价指标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总分100分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总得分原则上不低于80分，各省（区、市）自然资源管理部门可在综合要求不降低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前提下，根据各地实际情况适当调整具体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达标线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  <w:t>二、评分说明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（一）某一指标评分说明属于扣分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最多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扣完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该项分值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。某一指标评分说明属于增分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最多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增至该项总分。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（二）所有得分必须有依据并要保留证明材料，在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栏里写明得到相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分值的原因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缺少支撑材料或证明材料不得分。如需填写内容较多，可在评估报告中重点描述。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（三）对于集中建设的选矿加工等配套系统，应明确关联关系，可统一纳入评估考虑。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（四）对于调查问卷、现场考核、专家打分取平均值等评估方式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需要在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说明里进行详细描述。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（五）需要现场查看的内容，在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里应写明哪些工作人员到什么现场看了什么内容（设备、设施、厂地、环境、现场等）。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159840-183A-4EA1-B972-9220338F08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F44ABC-9D9C-462F-A9F7-76FDAE7B573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34D56D4-9DF1-4356-95F2-6AD0DFA68B9A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D0A7256-2A43-44CA-BA89-008F330875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color w:val="000000"/>
        <w:sz w:val="21"/>
        <w:szCs w:val="21"/>
        <w:lang w:val="en-US" w:eastAsia="zh-CN" w:bidi="ar-SA"/>
      </w:rPr>
    </w:pPr>
    <w:r>
      <w:rPr>
        <w:rFonts w:ascii="Calibri" w:hAnsi="Calibri" w:eastAsia="宋体" w:cs="Calibri"/>
        <w:color w:val="000000"/>
        <w:sz w:val="21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jYyZjNmNTc4ZjM3NGNiNTc4MWE5Zjc3ODA1YzUifQ=="/>
  </w:docVars>
  <w:rsids>
    <w:rsidRoot w:val="00000000"/>
    <w:rsid w:val="17FF3F29"/>
    <w:rsid w:val="1DFF0FD8"/>
    <w:rsid w:val="1FDF6E5F"/>
    <w:rsid w:val="25881AE0"/>
    <w:rsid w:val="2F4B3BEC"/>
    <w:rsid w:val="2FF75DEF"/>
    <w:rsid w:val="39FF050F"/>
    <w:rsid w:val="3DF88B09"/>
    <w:rsid w:val="3EAB0813"/>
    <w:rsid w:val="3EE3E7CD"/>
    <w:rsid w:val="3F5E7B73"/>
    <w:rsid w:val="3FBE5D23"/>
    <w:rsid w:val="3FBFFCA5"/>
    <w:rsid w:val="3FF35094"/>
    <w:rsid w:val="574E8118"/>
    <w:rsid w:val="5BD462C2"/>
    <w:rsid w:val="5D7EA438"/>
    <w:rsid w:val="5EFA7CCD"/>
    <w:rsid w:val="61E7EF69"/>
    <w:rsid w:val="6B7B8B53"/>
    <w:rsid w:val="6DB5EC70"/>
    <w:rsid w:val="6FDB700B"/>
    <w:rsid w:val="734A874B"/>
    <w:rsid w:val="73697162"/>
    <w:rsid w:val="755D3217"/>
    <w:rsid w:val="75ED5D32"/>
    <w:rsid w:val="76F7C8A6"/>
    <w:rsid w:val="777D7236"/>
    <w:rsid w:val="77CDB37E"/>
    <w:rsid w:val="77FFA91D"/>
    <w:rsid w:val="7856695F"/>
    <w:rsid w:val="789732E1"/>
    <w:rsid w:val="78FE481A"/>
    <w:rsid w:val="7B967CA5"/>
    <w:rsid w:val="7BC76C74"/>
    <w:rsid w:val="7BDA2F67"/>
    <w:rsid w:val="7C013D37"/>
    <w:rsid w:val="7DFE0A70"/>
    <w:rsid w:val="7E7FA182"/>
    <w:rsid w:val="7EA88ECF"/>
    <w:rsid w:val="7EDFE6A7"/>
    <w:rsid w:val="7F57255E"/>
    <w:rsid w:val="7FC5E823"/>
    <w:rsid w:val="7FCE7C49"/>
    <w:rsid w:val="7FDCD5F5"/>
    <w:rsid w:val="7FEB5850"/>
    <w:rsid w:val="7FFF820D"/>
    <w:rsid w:val="8CE3016F"/>
    <w:rsid w:val="99FAF632"/>
    <w:rsid w:val="9E1DDE32"/>
    <w:rsid w:val="9FBFABA8"/>
    <w:rsid w:val="AFDC2C70"/>
    <w:rsid w:val="B62F3C99"/>
    <w:rsid w:val="B997F93D"/>
    <w:rsid w:val="BA7B23C6"/>
    <w:rsid w:val="BEA6B462"/>
    <w:rsid w:val="BFEB3481"/>
    <w:rsid w:val="CD3EDDE9"/>
    <w:rsid w:val="D2DB9DAA"/>
    <w:rsid w:val="D7B50B9C"/>
    <w:rsid w:val="DCF54A05"/>
    <w:rsid w:val="DD15FF32"/>
    <w:rsid w:val="DEED6F57"/>
    <w:rsid w:val="DF3F34A4"/>
    <w:rsid w:val="DF7F4D84"/>
    <w:rsid w:val="DFE3E63B"/>
    <w:rsid w:val="DFEF5BD4"/>
    <w:rsid w:val="DFF4945E"/>
    <w:rsid w:val="DFFCCCAF"/>
    <w:rsid w:val="DFFD2935"/>
    <w:rsid w:val="E9DD2A2B"/>
    <w:rsid w:val="EEF6DF70"/>
    <w:rsid w:val="EF571D7B"/>
    <w:rsid w:val="EFBFECA4"/>
    <w:rsid w:val="F2FFB154"/>
    <w:rsid w:val="F38D895D"/>
    <w:rsid w:val="F3F54342"/>
    <w:rsid w:val="F77E5F01"/>
    <w:rsid w:val="F9CF8CB2"/>
    <w:rsid w:val="FAEB9989"/>
    <w:rsid w:val="FAF41D82"/>
    <w:rsid w:val="FB7E255A"/>
    <w:rsid w:val="FBEEA2CD"/>
    <w:rsid w:val="FBFF5A5B"/>
    <w:rsid w:val="FC661A48"/>
    <w:rsid w:val="FC9A1EE1"/>
    <w:rsid w:val="FDD7A529"/>
    <w:rsid w:val="FDFE0401"/>
    <w:rsid w:val="FE734873"/>
    <w:rsid w:val="FFBFE80A"/>
    <w:rsid w:val="FFE7D486"/>
    <w:rsid w:val="FFF93735"/>
    <w:rsid w:val="FFFD9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unhideWhenUsed/>
    <w:qFormat/>
    <w:uiPriority w:val="0"/>
    <w:pPr>
      <w:keepNext/>
      <w:keepLines/>
      <w:widowControl w:val="0"/>
      <w:adjustRightInd w:val="0"/>
      <w:snapToGrid w:val="0"/>
      <w:spacing w:before="50" w:beforeLines="50" w:after="50" w:afterLines="50" w:line="360" w:lineRule="auto"/>
      <w:ind w:firstLine="0" w:firstLineChars="0"/>
      <w:jc w:val="center"/>
      <w:outlineLvl w:val="3"/>
    </w:pPr>
    <w:rPr>
      <w:rFonts w:ascii="Times New Roman" w:hAnsi="Times New Roman" w:eastAsia="宋体" w:cs="Times New Roman"/>
      <w:b/>
      <w:bCs/>
      <w:kern w:val="2"/>
      <w:sz w:val="30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早睡早起</cp:lastModifiedBy>
  <dcterms:modified xsi:type="dcterms:W3CDTF">2024-04-18T01:41:47Z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263521C9C3114D279C76565CA0657EF4_13</vt:lpwstr>
  </property>
</Properties>
</file>